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9F3" w:rsidRPr="000B4003" w:rsidRDefault="007F3CDC" w:rsidP="00C509F3">
      <w:pPr>
        <w:jc w:val="center"/>
        <w:rPr>
          <w:rFonts w:ascii="Noto Sans" w:hAnsi="Noto Sans" w:cs="Noto Sans"/>
          <w:b/>
          <w:color w:val="621333"/>
          <w:sz w:val="28"/>
          <w:szCs w:val="28"/>
        </w:rPr>
      </w:pPr>
      <w:r w:rsidRPr="007F3CDC">
        <w:rPr>
          <w:rFonts w:ascii="Noto Sans" w:hAnsi="Noto Sans" w:cs="Noto Sans"/>
          <w:b/>
          <w:color w:val="621333"/>
          <w:sz w:val="28"/>
          <w:szCs w:val="28"/>
        </w:rPr>
        <w:t>1.</w:t>
      </w:r>
      <w:r w:rsidRPr="007F3CDC">
        <w:rPr>
          <w:rFonts w:ascii="Noto Sans" w:hAnsi="Noto Sans" w:cs="Noto Sans"/>
          <w:b/>
          <w:color w:val="621333"/>
          <w:sz w:val="28"/>
          <w:szCs w:val="28"/>
        </w:rPr>
        <w:tab/>
        <w:t>EL CICLO HACENDARIO Y EL SISTEMA DE CONTABILIDAD GUBERNAMENTAL</w:t>
      </w:r>
    </w:p>
    <w:p w:rsidR="003F7C52" w:rsidRDefault="003F7C52" w:rsidP="00ED1D2B">
      <w:pPr>
        <w:jc w:val="both"/>
      </w:pPr>
    </w:p>
    <w:p w:rsidR="007F3CDC" w:rsidRPr="007F3CDC" w:rsidRDefault="007F3CDC" w:rsidP="007F3CDC">
      <w:pPr>
        <w:jc w:val="both"/>
        <w:rPr>
          <w:rFonts w:ascii="Noto Sans" w:hAnsi="Noto Sans" w:cs="Noto Sans"/>
          <w:b/>
          <w:color w:val="621333"/>
          <w:sz w:val="28"/>
          <w:szCs w:val="28"/>
        </w:rPr>
      </w:pPr>
      <w:r w:rsidRPr="007F3CDC">
        <w:rPr>
          <w:rFonts w:ascii="Noto Sans" w:hAnsi="Noto Sans" w:cs="Noto Sans"/>
          <w:b/>
          <w:color w:val="621333"/>
          <w:sz w:val="28"/>
          <w:szCs w:val="28"/>
        </w:rPr>
        <w:t>A. EL CICLO HACENDARIO</w:t>
      </w:r>
    </w:p>
    <w:p w:rsidR="007F3CDC" w:rsidRDefault="007F3CDC" w:rsidP="007F3CDC">
      <w:pPr>
        <w:jc w:val="both"/>
        <w:rPr>
          <w:rFonts w:ascii="Noto Sans" w:hAnsi="Noto Sans" w:cs="Noto Sans"/>
          <w:b/>
          <w:color w:val="621333"/>
          <w:sz w:val="28"/>
          <w:szCs w:val="28"/>
        </w:rPr>
      </w:pPr>
      <w:r w:rsidRPr="007F3CDC">
        <w:rPr>
          <w:rFonts w:ascii="Noto Sans" w:hAnsi="Noto Sans" w:cs="Noto Sans"/>
          <w:b/>
          <w:color w:val="621333"/>
          <w:sz w:val="28"/>
          <w:szCs w:val="28"/>
        </w:rPr>
        <w:t>A.1 Concepto</w:t>
      </w:r>
    </w:p>
    <w:p w:rsidR="007F3CDC" w:rsidRPr="007F3CDC" w:rsidRDefault="007F3CDC" w:rsidP="007F3CDC">
      <w:pPr>
        <w:jc w:val="both"/>
        <w:rPr>
          <w:rFonts w:ascii="Noto Sans Light" w:hAnsi="Noto Sans Light" w:cs="Noto Sans Light"/>
          <w:sz w:val="24"/>
          <w:szCs w:val="24"/>
        </w:rPr>
      </w:pPr>
    </w:p>
    <w:p w:rsidR="007F3CDC" w:rsidRDefault="007F3CDC" w:rsidP="007F3CDC">
      <w:pPr>
        <w:jc w:val="both"/>
        <w:rPr>
          <w:rFonts w:ascii="Noto Sans Light" w:hAnsi="Noto Sans Light" w:cs="Noto Sans Light"/>
          <w:sz w:val="24"/>
          <w:szCs w:val="24"/>
        </w:rPr>
      </w:pPr>
      <w:r w:rsidRPr="007F3CDC">
        <w:rPr>
          <w:rFonts w:ascii="Noto Sans Light" w:hAnsi="Noto Sans Light" w:cs="Noto Sans Light"/>
          <w:sz w:val="24"/>
          <w:szCs w:val="24"/>
        </w:rPr>
        <w:t xml:space="preserve">El “Ciclo Hacendario” tiene por finalidad proponer, dirigir y controlar la política fiscal y la gestión de las finanzas públicas en un marco normativo determinado y está conformado por un conjunto de fases o etapas secuenciales con características distintivas que se repiten ordenada y periódicamente desde su inicio hasta su finalización, cada una de las cuales contiene actividades y eventos interrelacionados entre sí por la homogeneidad del tema que tratan y por el tiempo en que ocurren. </w:t>
      </w:r>
    </w:p>
    <w:p w:rsidR="007F3CDC" w:rsidRPr="007F3CDC" w:rsidRDefault="007F3CDC" w:rsidP="007F3CDC">
      <w:pPr>
        <w:jc w:val="both"/>
        <w:rPr>
          <w:rFonts w:ascii="Noto Sans Light" w:hAnsi="Noto Sans Light" w:cs="Noto Sans Light"/>
          <w:sz w:val="24"/>
          <w:szCs w:val="24"/>
        </w:rPr>
      </w:pPr>
    </w:p>
    <w:p w:rsidR="007F3CDC" w:rsidRDefault="007F3CDC" w:rsidP="007F3CDC">
      <w:pPr>
        <w:jc w:val="both"/>
        <w:rPr>
          <w:rFonts w:ascii="Noto Sans Light" w:hAnsi="Noto Sans Light" w:cs="Noto Sans Light"/>
          <w:sz w:val="24"/>
          <w:szCs w:val="24"/>
        </w:rPr>
      </w:pPr>
      <w:r w:rsidRPr="007F3CDC">
        <w:rPr>
          <w:rFonts w:ascii="Noto Sans Light" w:hAnsi="Noto Sans Light" w:cs="Noto Sans Light"/>
          <w:sz w:val="24"/>
          <w:szCs w:val="24"/>
        </w:rPr>
        <w:t xml:space="preserve">El Ciclo Hacendario se inicia con la preparación de la política fiscal y presupuestaria anual y finaliza con la revisión de la Cuenta Pública por la Cámara de Diputados, y comprende los principios, leyes, normas, sistemas, instituciones y procesos que regulan, intervienen o se utilizan en las fases de planeación, programación y </w:t>
      </w:r>
      <w:proofErr w:type="spellStart"/>
      <w:r w:rsidRPr="007F3CDC">
        <w:rPr>
          <w:rFonts w:ascii="Noto Sans Light" w:hAnsi="Noto Sans Light" w:cs="Noto Sans Light"/>
          <w:sz w:val="24"/>
          <w:szCs w:val="24"/>
        </w:rPr>
        <w:t>presupuestación</w:t>
      </w:r>
      <w:proofErr w:type="spellEnd"/>
      <w:r w:rsidRPr="007F3CDC">
        <w:rPr>
          <w:rFonts w:ascii="Noto Sans Light" w:hAnsi="Noto Sans Light" w:cs="Noto Sans Light"/>
          <w:sz w:val="24"/>
          <w:szCs w:val="24"/>
        </w:rPr>
        <w:t>, ejercicio, control y evaluación que se realizan para captar y aplicar los recursos financieros que se requieren para cumplir con los objetivos y las metas del Estado, así como custodiar el patrimonio público, en forma económica, eficaz, eficiente y con la mayor calidad posible, incluyendo la rendición de cuentas y la transparencia fiscal.</w:t>
      </w:r>
    </w:p>
    <w:p w:rsidR="007F3CDC" w:rsidRPr="007F3CDC" w:rsidRDefault="007F3CDC" w:rsidP="007F3CDC">
      <w:pPr>
        <w:jc w:val="both"/>
        <w:rPr>
          <w:rFonts w:ascii="Noto Sans Light" w:hAnsi="Noto Sans Light" w:cs="Noto Sans Light"/>
          <w:sz w:val="24"/>
          <w:szCs w:val="24"/>
        </w:rPr>
      </w:pPr>
    </w:p>
    <w:p w:rsidR="007F3CDC" w:rsidRPr="007F3CDC" w:rsidRDefault="007F3CDC" w:rsidP="007F3CDC">
      <w:pPr>
        <w:jc w:val="both"/>
        <w:rPr>
          <w:rFonts w:ascii="Noto Sans" w:hAnsi="Noto Sans" w:cs="Noto Sans"/>
          <w:b/>
          <w:color w:val="621333"/>
          <w:sz w:val="28"/>
          <w:szCs w:val="28"/>
        </w:rPr>
      </w:pPr>
      <w:r w:rsidRPr="007F3CDC">
        <w:rPr>
          <w:rFonts w:ascii="Noto Sans" w:hAnsi="Noto Sans" w:cs="Noto Sans"/>
          <w:b/>
          <w:color w:val="621333"/>
          <w:sz w:val="28"/>
          <w:szCs w:val="28"/>
        </w:rPr>
        <w:t>A. 2 Ámbito Institucional del Ciclo Hacendario de la Federación.</w:t>
      </w:r>
    </w:p>
    <w:p w:rsidR="007F3CDC" w:rsidRPr="007F3CDC" w:rsidRDefault="007F3CDC" w:rsidP="007F3CDC">
      <w:pPr>
        <w:jc w:val="both"/>
        <w:rPr>
          <w:rFonts w:ascii="Noto Sans Light" w:hAnsi="Noto Sans Light" w:cs="Noto Sans Light"/>
          <w:sz w:val="24"/>
          <w:szCs w:val="24"/>
        </w:rPr>
      </w:pPr>
    </w:p>
    <w:p w:rsidR="007F3CDC" w:rsidRPr="007F3CDC" w:rsidRDefault="007F3CDC" w:rsidP="007F3CDC">
      <w:pPr>
        <w:jc w:val="both"/>
        <w:rPr>
          <w:rFonts w:ascii="Noto Sans Light" w:hAnsi="Noto Sans Light" w:cs="Noto Sans Light"/>
          <w:sz w:val="24"/>
          <w:szCs w:val="24"/>
        </w:rPr>
      </w:pPr>
      <w:r w:rsidRPr="007F3CDC">
        <w:rPr>
          <w:rFonts w:ascii="Noto Sans Light" w:hAnsi="Noto Sans Light" w:cs="Noto Sans Light"/>
          <w:sz w:val="24"/>
          <w:szCs w:val="24"/>
        </w:rPr>
        <w:t>El ámbito institucional del Ciclo Hacendario comprende a las instituciones de la Federación que planifican, programan, ejecutan, controlan y evalúan los ingresos, los gastos y el financiamiento público, así mismo administran el patrimonio del Estado.</w:t>
      </w:r>
    </w:p>
    <w:p w:rsidR="007F3CDC" w:rsidRDefault="007F3CDC" w:rsidP="007F3CDC">
      <w:pPr>
        <w:jc w:val="both"/>
        <w:rPr>
          <w:rFonts w:ascii="Noto Sans Light" w:hAnsi="Noto Sans Light" w:cs="Noto Sans Light"/>
          <w:sz w:val="24"/>
          <w:szCs w:val="24"/>
        </w:rPr>
      </w:pPr>
      <w:r w:rsidRPr="007F3CDC">
        <w:rPr>
          <w:rFonts w:ascii="Noto Sans Light" w:hAnsi="Noto Sans Light" w:cs="Noto Sans Light"/>
          <w:sz w:val="24"/>
          <w:szCs w:val="24"/>
        </w:rPr>
        <w:t>Desde el punto de vista económico y presupuestario, las instituciones públicas que integran el Ciclo Hacendario, se clasifican en los siguientes agregados institucionales:</w:t>
      </w:r>
    </w:p>
    <w:p w:rsidR="007F3CDC" w:rsidRPr="007F3CDC" w:rsidRDefault="007F3CDC" w:rsidP="007F3CDC">
      <w:pPr>
        <w:jc w:val="both"/>
        <w:rPr>
          <w:rFonts w:ascii="Noto Sans Light" w:hAnsi="Noto Sans Light" w:cs="Noto Sans Light"/>
          <w:sz w:val="24"/>
          <w:szCs w:val="24"/>
        </w:rPr>
      </w:pPr>
    </w:p>
    <w:p w:rsidR="007F3CDC" w:rsidRPr="004E5C1B" w:rsidRDefault="007F3CDC" w:rsidP="004E5C1B">
      <w:pPr>
        <w:pStyle w:val="Prrafodelista"/>
        <w:numPr>
          <w:ilvl w:val="0"/>
          <w:numId w:val="1"/>
        </w:numPr>
        <w:jc w:val="both"/>
        <w:rPr>
          <w:rFonts w:ascii="Noto Sans Light" w:hAnsi="Noto Sans Light" w:cs="Noto Sans Light"/>
          <w:sz w:val="24"/>
          <w:szCs w:val="24"/>
        </w:rPr>
      </w:pPr>
      <w:r w:rsidRPr="004E5C1B">
        <w:rPr>
          <w:rFonts w:ascii="Noto Sans Light" w:hAnsi="Noto Sans Light" w:cs="Noto Sans Light"/>
          <w:sz w:val="24"/>
          <w:szCs w:val="24"/>
        </w:rPr>
        <w:t>Gobierno Federal</w:t>
      </w:r>
    </w:p>
    <w:p w:rsidR="007F3CDC" w:rsidRPr="004E5C1B" w:rsidRDefault="007F3CDC" w:rsidP="004E5C1B">
      <w:pPr>
        <w:pStyle w:val="Prrafodelista"/>
        <w:numPr>
          <w:ilvl w:val="0"/>
          <w:numId w:val="1"/>
        </w:numPr>
        <w:jc w:val="both"/>
        <w:rPr>
          <w:rFonts w:ascii="Noto Sans Light" w:hAnsi="Noto Sans Light" w:cs="Noto Sans Light"/>
          <w:sz w:val="24"/>
          <w:szCs w:val="24"/>
        </w:rPr>
      </w:pPr>
      <w:r w:rsidRPr="004E5C1B">
        <w:rPr>
          <w:rFonts w:ascii="Noto Sans Light" w:hAnsi="Noto Sans Light" w:cs="Noto Sans Light"/>
          <w:sz w:val="24"/>
          <w:szCs w:val="24"/>
        </w:rPr>
        <w:lastRenderedPageBreak/>
        <w:t>Entidades Paraestatales</w:t>
      </w:r>
    </w:p>
    <w:p w:rsidR="007F3CDC" w:rsidRPr="007F3CDC" w:rsidRDefault="007F3CDC" w:rsidP="007F3CDC">
      <w:pPr>
        <w:jc w:val="both"/>
        <w:rPr>
          <w:rFonts w:ascii="Noto Sans Light" w:hAnsi="Noto Sans Light" w:cs="Noto Sans Light"/>
          <w:sz w:val="24"/>
          <w:szCs w:val="24"/>
        </w:rPr>
      </w:pPr>
    </w:p>
    <w:p w:rsidR="007F3CDC" w:rsidRPr="007F3CDC" w:rsidRDefault="007F3CDC" w:rsidP="007F3CDC">
      <w:pPr>
        <w:jc w:val="both"/>
        <w:rPr>
          <w:rFonts w:ascii="Noto Sans Light" w:hAnsi="Noto Sans Light" w:cs="Noto Sans Light"/>
          <w:sz w:val="24"/>
          <w:szCs w:val="24"/>
        </w:rPr>
      </w:pPr>
    </w:p>
    <w:p w:rsidR="007F3CDC" w:rsidRPr="007F3CDC" w:rsidRDefault="007F3CDC" w:rsidP="007F3CDC">
      <w:pPr>
        <w:jc w:val="both"/>
        <w:rPr>
          <w:rFonts w:ascii="Noto Sans" w:hAnsi="Noto Sans" w:cs="Noto Sans"/>
          <w:b/>
          <w:color w:val="621333"/>
          <w:sz w:val="28"/>
          <w:szCs w:val="28"/>
        </w:rPr>
      </w:pPr>
      <w:r w:rsidRPr="007F3CDC">
        <w:rPr>
          <w:rFonts w:ascii="Noto Sans" w:hAnsi="Noto Sans" w:cs="Noto Sans"/>
          <w:b/>
          <w:color w:val="621333"/>
          <w:sz w:val="28"/>
          <w:szCs w:val="28"/>
        </w:rPr>
        <w:t>A. 3 El Marco Normativo Básico del Ciclo Hacendario de la Federación.</w:t>
      </w:r>
    </w:p>
    <w:p w:rsidR="007F3CDC" w:rsidRDefault="007F3CDC" w:rsidP="007F3CDC">
      <w:pPr>
        <w:jc w:val="both"/>
        <w:rPr>
          <w:rFonts w:ascii="Noto Sans Light" w:hAnsi="Noto Sans Light" w:cs="Noto Sans Light"/>
          <w:sz w:val="24"/>
          <w:szCs w:val="24"/>
        </w:rPr>
      </w:pPr>
      <w:r w:rsidRPr="007F3CDC">
        <w:rPr>
          <w:rFonts w:ascii="Noto Sans Light" w:hAnsi="Noto Sans Light" w:cs="Noto Sans Light"/>
          <w:sz w:val="24"/>
          <w:szCs w:val="24"/>
        </w:rPr>
        <w:t>El Ciclo Hacendario de la Federación, está regulado por un conjunto de normas que en general se corresponden y guardan la necesaria coherencia entre sí, para posibilitar el funcionamiento armónico de la gestión financiera de los recursos económicos de los entes públicos, los cuales  se debe administrar con eficiencia, eficacia, economía, transparencia y honradez para satisfacer los objetivos a los que estén destinados, en este sentido existe todo un marco de referencia que regula las acciones  para garantizar su estricto cumplimiento.</w:t>
      </w:r>
    </w:p>
    <w:p w:rsidR="004E5C1B" w:rsidRPr="007F3CDC" w:rsidRDefault="004E5C1B" w:rsidP="007F3CDC">
      <w:pPr>
        <w:jc w:val="both"/>
        <w:rPr>
          <w:rFonts w:ascii="Noto Sans Light" w:hAnsi="Noto Sans Light" w:cs="Noto Sans Light"/>
          <w:sz w:val="24"/>
          <w:szCs w:val="24"/>
        </w:rPr>
      </w:pPr>
    </w:p>
    <w:p w:rsidR="007F3CDC" w:rsidRDefault="007F3CDC" w:rsidP="007F3CDC">
      <w:pPr>
        <w:jc w:val="both"/>
        <w:rPr>
          <w:rFonts w:ascii="Noto Sans Light" w:hAnsi="Noto Sans Light" w:cs="Noto Sans Light"/>
          <w:sz w:val="24"/>
          <w:szCs w:val="24"/>
        </w:rPr>
      </w:pPr>
      <w:r w:rsidRPr="007F3CDC">
        <w:rPr>
          <w:rFonts w:ascii="Noto Sans Light" w:hAnsi="Noto Sans Light" w:cs="Noto Sans Light"/>
          <w:sz w:val="24"/>
          <w:szCs w:val="24"/>
        </w:rPr>
        <w:t>Considerando lo anterior, las entidades del Sector Paraestatal están obligadas a observar las leyes generales y específicas que les apliquen en todo el proceso relacionado con la asignación y aplicación de los recursos públicos, la normatividad que de forma expresa emita la Unidad de Contabilidad Gubernamental adscrita a la Subsecretaría de Egresos de la Secretaría de Hacienda y Crédito Público en su calidad de autoridad administrativa competente en materia de contabilidad gubernamental y las disposiciones contenidas en el Manual de Contabilidad Gubernamental para el Sector Paraestatal Federal.</w:t>
      </w:r>
    </w:p>
    <w:p w:rsidR="004E5C1B" w:rsidRPr="007F3CDC" w:rsidRDefault="004E5C1B" w:rsidP="007F3CDC">
      <w:pPr>
        <w:jc w:val="both"/>
        <w:rPr>
          <w:rFonts w:ascii="Noto Sans Light" w:hAnsi="Noto Sans Light" w:cs="Noto Sans Light"/>
          <w:sz w:val="24"/>
          <w:szCs w:val="24"/>
        </w:rPr>
      </w:pPr>
    </w:p>
    <w:p w:rsidR="007F3CDC" w:rsidRDefault="007F3CDC" w:rsidP="007F3CDC">
      <w:pPr>
        <w:jc w:val="both"/>
        <w:rPr>
          <w:rFonts w:ascii="Noto Sans Light" w:hAnsi="Noto Sans Light" w:cs="Noto Sans Light"/>
          <w:sz w:val="24"/>
          <w:szCs w:val="24"/>
        </w:rPr>
      </w:pPr>
      <w:r w:rsidRPr="007F3CDC">
        <w:rPr>
          <w:rFonts w:ascii="Noto Sans Light" w:hAnsi="Noto Sans Light" w:cs="Noto Sans Light"/>
          <w:sz w:val="24"/>
          <w:szCs w:val="24"/>
        </w:rPr>
        <w:t>A continuación, se enlistan los ordenamientos que les aplican, reconociendo que no son limitativos y que es responsabilidad de los usuarios de este Manual cumplir con las disposiciones de las que aquí se enuncian y otras que l</w:t>
      </w:r>
      <w:r w:rsidR="004E5C1B">
        <w:rPr>
          <w:rFonts w:ascii="Noto Sans Light" w:hAnsi="Noto Sans Light" w:cs="Noto Sans Light"/>
          <w:sz w:val="24"/>
          <w:szCs w:val="24"/>
        </w:rPr>
        <w:t>es aplican de forma específica.</w:t>
      </w:r>
    </w:p>
    <w:p w:rsidR="004E5C1B" w:rsidRPr="007F3CDC" w:rsidRDefault="004E5C1B" w:rsidP="007F3CDC">
      <w:pPr>
        <w:jc w:val="both"/>
        <w:rPr>
          <w:rFonts w:ascii="Noto Sans Light" w:hAnsi="Noto Sans Light" w:cs="Noto Sans Light"/>
          <w:sz w:val="24"/>
          <w:szCs w:val="24"/>
        </w:rPr>
      </w:pPr>
    </w:p>
    <w:p w:rsidR="007F3CDC" w:rsidRPr="004E5C1B" w:rsidRDefault="007F3CDC" w:rsidP="004E5C1B">
      <w:pPr>
        <w:pStyle w:val="Prrafodelista"/>
        <w:numPr>
          <w:ilvl w:val="0"/>
          <w:numId w:val="5"/>
        </w:numPr>
        <w:jc w:val="both"/>
        <w:rPr>
          <w:rFonts w:ascii="Noto Sans Light" w:hAnsi="Noto Sans Light" w:cs="Noto Sans Light"/>
          <w:sz w:val="24"/>
          <w:szCs w:val="24"/>
        </w:rPr>
      </w:pPr>
      <w:r w:rsidRPr="004E5C1B">
        <w:rPr>
          <w:rFonts w:ascii="Noto Sans Light" w:hAnsi="Noto Sans Light" w:cs="Noto Sans Light"/>
          <w:sz w:val="24"/>
          <w:szCs w:val="24"/>
        </w:rPr>
        <w:t>Constitución Política de los Estados Unidos Mexicanos.</w:t>
      </w:r>
    </w:p>
    <w:p w:rsidR="007F3CDC" w:rsidRPr="004E5C1B" w:rsidRDefault="007F3CDC" w:rsidP="004E5C1B">
      <w:pPr>
        <w:pStyle w:val="Prrafodelista"/>
        <w:numPr>
          <w:ilvl w:val="0"/>
          <w:numId w:val="5"/>
        </w:numPr>
        <w:jc w:val="both"/>
        <w:rPr>
          <w:rFonts w:ascii="Noto Sans Light" w:hAnsi="Noto Sans Light" w:cs="Noto Sans Light"/>
          <w:sz w:val="24"/>
          <w:szCs w:val="24"/>
        </w:rPr>
      </w:pPr>
      <w:r w:rsidRPr="004E5C1B">
        <w:rPr>
          <w:rFonts w:ascii="Noto Sans Light" w:hAnsi="Noto Sans Light" w:cs="Noto Sans Light"/>
          <w:sz w:val="24"/>
          <w:szCs w:val="24"/>
        </w:rPr>
        <w:t>Leyes</w:t>
      </w:r>
    </w:p>
    <w:p w:rsidR="007F3CDC" w:rsidRPr="004E5C1B" w:rsidRDefault="007F3CDC" w:rsidP="004E5C1B">
      <w:pPr>
        <w:pStyle w:val="Prrafodelista"/>
        <w:numPr>
          <w:ilvl w:val="0"/>
          <w:numId w:val="3"/>
        </w:numPr>
        <w:jc w:val="both"/>
        <w:rPr>
          <w:rFonts w:ascii="Noto Sans Light" w:hAnsi="Noto Sans Light" w:cs="Noto Sans Light"/>
          <w:sz w:val="24"/>
          <w:szCs w:val="24"/>
        </w:rPr>
      </w:pPr>
      <w:r w:rsidRPr="004E5C1B">
        <w:rPr>
          <w:rFonts w:ascii="Noto Sans Light" w:hAnsi="Noto Sans Light" w:cs="Noto Sans Light"/>
          <w:sz w:val="24"/>
          <w:szCs w:val="24"/>
        </w:rPr>
        <w:t>Ley Orgánica de la Administración Pública Federal.</w:t>
      </w:r>
    </w:p>
    <w:p w:rsidR="007F3CDC" w:rsidRPr="004E5C1B" w:rsidRDefault="007F3CDC" w:rsidP="004E5C1B">
      <w:pPr>
        <w:pStyle w:val="Prrafodelista"/>
        <w:numPr>
          <w:ilvl w:val="0"/>
          <w:numId w:val="3"/>
        </w:numPr>
        <w:jc w:val="both"/>
        <w:rPr>
          <w:rFonts w:ascii="Noto Sans Light" w:hAnsi="Noto Sans Light" w:cs="Noto Sans Light"/>
          <w:sz w:val="24"/>
          <w:szCs w:val="24"/>
        </w:rPr>
      </w:pPr>
      <w:r w:rsidRPr="004E5C1B">
        <w:rPr>
          <w:rFonts w:ascii="Noto Sans Light" w:hAnsi="Noto Sans Light" w:cs="Noto Sans Light"/>
          <w:sz w:val="24"/>
          <w:szCs w:val="24"/>
        </w:rPr>
        <w:t>Ley General de Contabilidad Gubernamental.</w:t>
      </w:r>
    </w:p>
    <w:p w:rsidR="007F3CDC" w:rsidRPr="004E5C1B" w:rsidRDefault="007F3CDC" w:rsidP="004E5C1B">
      <w:pPr>
        <w:pStyle w:val="Prrafodelista"/>
        <w:numPr>
          <w:ilvl w:val="0"/>
          <w:numId w:val="3"/>
        </w:numPr>
        <w:jc w:val="both"/>
        <w:rPr>
          <w:rFonts w:ascii="Noto Sans Light" w:hAnsi="Noto Sans Light" w:cs="Noto Sans Light"/>
          <w:sz w:val="24"/>
          <w:szCs w:val="24"/>
        </w:rPr>
      </w:pPr>
      <w:r w:rsidRPr="004E5C1B">
        <w:rPr>
          <w:rFonts w:ascii="Noto Sans Light" w:hAnsi="Noto Sans Light" w:cs="Noto Sans Light"/>
          <w:sz w:val="24"/>
          <w:szCs w:val="24"/>
        </w:rPr>
        <w:t>Ley Federal de Deuda Pública.</w:t>
      </w:r>
    </w:p>
    <w:p w:rsidR="007F3CDC" w:rsidRPr="004E5C1B" w:rsidRDefault="007F3CDC" w:rsidP="004E5C1B">
      <w:pPr>
        <w:pStyle w:val="Prrafodelista"/>
        <w:numPr>
          <w:ilvl w:val="0"/>
          <w:numId w:val="3"/>
        </w:numPr>
        <w:jc w:val="both"/>
        <w:rPr>
          <w:rFonts w:ascii="Noto Sans Light" w:hAnsi="Noto Sans Light" w:cs="Noto Sans Light"/>
          <w:sz w:val="24"/>
          <w:szCs w:val="24"/>
        </w:rPr>
      </w:pPr>
      <w:r w:rsidRPr="004E5C1B">
        <w:rPr>
          <w:rFonts w:ascii="Noto Sans Light" w:hAnsi="Noto Sans Light" w:cs="Noto Sans Light"/>
          <w:sz w:val="24"/>
          <w:szCs w:val="24"/>
        </w:rPr>
        <w:t>Ley General de Bienes Nacionales.</w:t>
      </w:r>
    </w:p>
    <w:p w:rsidR="007F3CDC" w:rsidRPr="004E5C1B" w:rsidRDefault="007F3CDC" w:rsidP="004E5C1B">
      <w:pPr>
        <w:pStyle w:val="Prrafodelista"/>
        <w:numPr>
          <w:ilvl w:val="0"/>
          <w:numId w:val="3"/>
        </w:numPr>
        <w:jc w:val="both"/>
        <w:rPr>
          <w:rFonts w:ascii="Noto Sans Light" w:hAnsi="Noto Sans Light" w:cs="Noto Sans Light"/>
          <w:sz w:val="24"/>
          <w:szCs w:val="24"/>
        </w:rPr>
      </w:pPr>
      <w:r w:rsidRPr="004E5C1B">
        <w:rPr>
          <w:rFonts w:ascii="Noto Sans Light" w:hAnsi="Noto Sans Light" w:cs="Noto Sans Light"/>
          <w:sz w:val="24"/>
          <w:szCs w:val="24"/>
        </w:rPr>
        <w:t>Ley Federal de Presupuesto y Responsabilidad Hacendaria.</w:t>
      </w:r>
    </w:p>
    <w:p w:rsidR="007F3CDC" w:rsidRPr="004E5C1B" w:rsidRDefault="007F3CDC" w:rsidP="004E5C1B">
      <w:pPr>
        <w:pStyle w:val="Prrafodelista"/>
        <w:numPr>
          <w:ilvl w:val="0"/>
          <w:numId w:val="3"/>
        </w:numPr>
        <w:jc w:val="both"/>
        <w:rPr>
          <w:rFonts w:ascii="Noto Sans Light" w:hAnsi="Noto Sans Light" w:cs="Noto Sans Light"/>
          <w:sz w:val="24"/>
          <w:szCs w:val="24"/>
        </w:rPr>
      </w:pPr>
      <w:r w:rsidRPr="004E5C1B">
        <w:rPr>
          <w:rFonts w:ascii="Noto Sans Light" w:hAnsi="Noto Sans Light" w:cs="Noto Sans Light"/>
          <w:sz w:val="24"/>
          <w:szCs w:val="24"/>
        </w:rPr>
        <w:t>Ley Federal de las Entidades Paraestatales.</w:t>
      </w:r>
    </w:p>
    <w:p w:rsidR="007F3CDC" w:rsidRPr="004E5C1B" w:rsidRDefault="007F3CDC" w:rsidP="004E5C1B">
      <w:pPr>
        <w:pStyle w:val="Prrafodelista"/>
        <w:numPr>
          <w:ilvl w:val="0"/>
          <w:numId w:val="3"/>
        </w:numPr>
        <w:jc w:val="both"/>
        <w:rPr>
          <w:rFonts w:ascii="Noto Sans Light" w:hAnsi="Noto Sans Light" w:cs="Noto Sans Light"/>
          <w:sz w:val="24"/>
          <w:szCs w:val="24"/>
        </w:rPr>
      </w:pPr>
      <w:r w:rsidRPr="004E5C1B">
        <w:rPr>
          <w:rFonts w:ascii="Noto Sans Light" w:hAnsi="Noto Sans Light" w:cs="Noto Sans Light"/>
          <w:sz w:val="24"/>
          <w:szCs w:val="24"/>
        </w:rPr>
        <w:t>Ley de Tesorería de la Federación.</w:t>
      </w:r>
    </w:p>
    <w:p w:rsidR="007F3CDC" w:rsidRPr="004E5C1B" w:rsidRDefault="007F3CDC" w:rsidP="004E5C1B">
      <w:pPr>
        <w:pStyle w:val="Prrafodelista"/>
        <w:numPr>
          <w:ilvl w:val="0"/>
          <w:numId w:val="3"/>
        </w:numPr>
        <w:jc w:val="both"/>
        <w:rPr>
          <w:rFonts w:ascii="Noto Sans Light" w:hAnsi="Noto Sans Light" w:cs="Noto Sans Light"/>
          <w:sz w:val="24"/>
          <w:szCs w:val="24"/>
        </w:rPr>
      </w:pPr>
      <w:r w:rsidRPr="004E5C1B">
        <w:rPr>
          <w:rFonts w:ascii="Noto Sans Light" w:hAnsi="Noto Sans Light" w:cs="Noto Sans Light"/>
          <w:sz w:val="24"/>
          <w:szCs w:val="24"/>
        </w:rPr>
        <w:t>Ley de Adquisiciones, Arrendamientos y Servicios del Sector Público.</w:t>
      </w:r>
    </w:p>
    <w:p w:rsidR="007F3CDC" w:rsidRPr="004E5C1B" w:rsidRDefault="007F3CDC" w:rsidP="004E5C1B">
      <w:pPr>
        <w:pStyle w:val="Prrafodelista"/>
        <w:numPr>
          <w:ilvl w:val="0"/>
          <w:numId w:val="3"/>
        </w:numPr>
        <w:jc w:val="both"/>
        <w:rPr>
          <w:rFonts w:ascii="Noto Sans Light" w:hAnsi="Noto Sans Light" w:cs="Noto Sans Light"/>
          <w:sz w:val="24"/>
          <w:szCs w:val="24"/>
        </w:rPr>
      </w:pPr>
      <w:r w:rsidRPr="004E5C1B">
        <w:rPr>
          <w:rFonts w:ascii="Noto Sans Light" w:hAnsi="Noto Sans Light" w:cs="Noto Sans Light"/>
          <w:sz w:val="24"/>
          <w:szCs w:val="24"/>
        </w:rPr>
        <w:t>Ley de Obras Públicas y Servicios Relacionados con las Mismas.</w:t>
      </w:r>
    </w:p>
    <w:p w:rsidR="007F3CDC" w:rsidRPr="004E5C1B" w:rsidRDefault="007F3CDC" w:rsidP="004E5C1B">
      <w:pPr>
        <w:pStyle w:val="Prrafodelista"/>
        <w:numPr>
          <w:ilvl w:val="0"/>
          <w:numId w:val="3"/>
        </w:numPr>
        <w:jc w:val="both"/>
        <w:rPr>
          <w:rFonts w:ascii="Noto Sans Light" w:hAnsi="Noto Sans Light" w:cs="Noto Sans Light"/>
          <w:sz w:val="24"/>
          <w:szCs w:val="24"/>
        </w:rPr>
      </w:pPr>
      <w:r w:rsidRPr="004E5C1B">
        <w:rPr>
          <w:rFonts w:ascii="Noto Sans Light" w:hAnsi="Noto Sans Light" w:cs="Noto Sans Light"/>
          <w:sz w:val="24"/>
          <w:szCs w:val="24"/>
        </w:rPr>
        <w:t>Ley de Ingresos de la Federación para el Ejercicio Fiscal.</w:t>
      </w:r>
    </w:p>
    <w:p w:rsidR="007F3CDC" w:rsidRPr="004E5C1B" w:rsidRDefault="007F3CDC" w:rsidP="004E5C1B">
      <w:pPr>
        <w:pStyle w:val="Prrafodelista"/>
        <w:numPr>
          <w:ilvl w:val="0"/>
          <w:numId w:val="3"/>
        </w:numPr>
        <w:jc w:val="both"/>
        <w:rPr>
          <w:rFonts w:ascii="Noto Sans Light" w:hAnsi="Noto Sans Light" w:cs="Noto Sans Light"/>
          <w:sz w:val="24"/>
          <w:szCs w:val="24"/>
        </w:rPr>
      </w:pPr>
      <w:r w:rsidRPr="004E5C1B">
        <w:rPr>
          <w:rFonts w:ascii="Noto Sans Light" w:hAnsi="Noto Sans Light" w:cs="Noto Sans Light"/>
          <w:sz w:val="24"/>
          <w:szCs w:val="24"/>
        </w:rPr>
        <w:t>Ley del Impuesto al Valor Agregado.</w:t>
      </w:r>
    </w:p>
    <w:p w:rsidR="007F3CDC" w:rsidRPr="004E5C1B" w:rsidRDefault="007F3CDC" w:rsidP="004E5C1B">
      <w:pPr>
        <w:pStyle w:val="Prrafodelista"/>
        <w:numPr>
          <w:ilvl w:val="0"/>
          <w:numId w:val="3"/>
        </w:numPr>
        <w:jc w:val="both"/>
        <w:rPr>
          <w:rFonts w:ascii="Noto Sans Light" w:hAnsi="Noto Sans Light" w:cs="Noto Sans Light"/>
          <w:sz w:val="24"/>
          <w:szCs w:val="24"/>
        </w:rPr>
      </w:pPr>
      <w:r w:rsidRPr="004E5C1B">
        <w:rPr>
          <w:rFonts w:ascii="Noto Sans Light" w:hAnsi="Noto Sans Light" w:cs="Noto Sans Light"/>
          <w:sz w:val="24"/>
          <w:szCs w:val="24"/>
        </w:rPr>
        <w:t>Ley del Impuesto sobre la Renta</w:t>
      </w:r>
    </w:p>
    <w:p w:rsidR="007F3CDC" w:rsidRPr="004E5C1B" w:rsidRDefault="007F3CDC" w:rsidP="004E5C1B">
      <w:pPr>
        <w:pStyle w:val="Prrafodelista"/>
        <w:numPr>
          <w:ilvl w:val="0"/>
          <w:numId w:val="3"/>
        </w:numPr>
        <w:jc w:val="both"/>
        <w:rPr>
          <w:rFonts w:ascii="Noto Sans Light" w:hAnsi="Noto Sans Light" w:cs="Noto Sans Light"/>
          <w:sz w:val="24"/>
          <w:szCs w:val="24"/>
        </w:rPr>
      </w:pPr>
      <w:r w:rsidRPr="004E5C1B">
        <w:rPr>
          <w:rFonts w:ascii="Noto Sans Light" w:hAnsi="Noto Sans Light" w:cs="Noto Sans Light"/>
          <w:sz w:val="24"/>
          <w:szCs w:val="24"/>
        </w:rPr>
        <w:t>Ley General de Sociedades Mercantiles</w:t>
      </w:r>
    </w:p>
    <w:p w:rsidR="007F3CDC" w:rsidRPr="007F3CDC" w:rsidRDefault="007F3CDC" w:rsidP="007F3CDC">
      <w:pPr>
        <w:jc w:val="both"/>
        <w:rPr>
          <w:rFonts w:ascii="Noto Sans Light" w:hAnsi="Noto Sans Light" w:cs="Noto Sans Light"/>
          <w:sz w:val="24"/>
          <w:szCs w:val="24"/>
        </w:rPr>
      </w:pPr>
    </w:p>
    <w:p w:rsidR="007F3CDC" w:rsidRPr="004E5C1B" w:rsidRDefault="007F3CDC" w:rsidP="004E5C1B">
      <w:pPr>
        <w:pStyle w:val="Prrafodelista"/>
        <w:numPr>
          <w:ilvl w:val="0"/>
          <w:numId w:val="5"/>
        </w:numPr>
        <w:jc w:val="both"/>
        <w:rPr>
          <w:rFonts w:ascii="Noto Sans Light" w:hAnsi="Noto Sans Light" w:cs="Noto Sans Light"/>
          <w:sz w:val="24"/>
          <w:szCs w:val="24"/>
        </w:rPr>
      </w:pPr>
      <w:r w:rsidRPr="004E5C1B">
        <w:rPr>
          <w:rFonts w:ascii="Noto Sans Light" w:hAnsi="Noto Sans Light" w:cs="Noto Sans Light"/>
          <w:sz w:val="24"/>
          <w:szCs w:val="24"/>
        </w:rPr>
        <w:t>Códigos</w:t>
      </w:r>
    </w:p>
    <w:p w:rsidR="007F3CDC" w:rsidRDefault="007F3CDC" w:rsidP="004E5C1B">
      <w:pPr>
        <w:pStyle w:val="Prrafodelista"/>
        <w:numPr>
          <w:ilvl w:val="0"/>
          <w:numId w:val="9"/>
        </w:numPr>
        <w:jc w:val="both"/>
        <w:rPr>
          <w:rFonts w:ascii="Noto Sans Light" w:hAnsi="Noto Sans Light" w:cs="Noto Sans Light"/>
          <w:sz w:val="24"/>
          <w:szCs w:val="24"/>
        </w:rPr>
      </w:pPr>
      <w:r w:rsidRPr="004E5C1B">
        <w:rPr>
          <w:rFonts w:ascii="Noto Sans Light" w:hAnsi="Noto Sans Light" w:cs="Noto Sans Light"/>
          <w:sz w:val="24"/>
          <w:szCs w:val="24"/>
        </w:rPr>
        <w:t>Código Fiscal de la Federación.</w:t>
      </w:r>
    </w:p>
    <w:p w:rsidR="004E5C1B" w:rsidRPr="004E5C1B" w:rsidRDefault="004E5C1B" w:rsidP="004E5C1B">
      <w:pPr>
        <w:pStyle w:val="Prrafodelista"/>
        <w:ind w:left="1697"/>
        <w:jc w:val="both"/>
        <w:rPr>
          <w:rFonts w:ascii="Noto Sans Light" w:hAnsi="Noto Sans Light" w:cs="Noto Sans Light"/>
          <w:sz w:val="24"/>
          <w:szCs w:val="24"/>
        </w:rPr>
      </w:pPr>
    </w:p>
    <w:p w:rsidR="007F3CDC" w:rsidRPr="004E5C1B" w:rsidRDefault="007F3CDC" w:rsidP="004E5C1B">
      <w:pPr>
        <w:pStyle w:val="Prrafodelista"/>
        <w:numPr>
          <w:ilvl w:val="0"/>
          <w:numId w:val="5"/>
        </w:numPr>
        <w:jc w:val="both"/>
        <w:rPr>
          <w:rFonts w:ascii="Noto Sans Light" w:hAnsi="Noto Sans Light" w:cs="Noto Sans Light"/>
          <w:sz w:val="24"/>
          <w:szCs w:val="24"/>
        </w:rPr>
      </w:pPr>
      <w:r w:rsidRPr="004E5C1B">
        <w:rPr>
          <w:rFonts w:ascii="Noto Sans Light" w:hAnsi="Noto Sans Light" w:cs="Noto Sans Light"/>
          <w:sz w:val="24"/>
          <w:szCs w:val="24"/>
        </w:rPr>
        <w:t>Reglamentos</w:t>
      </w:r>
    </w:p>
    <w:p w:rsidR="007F3CDC" w:rsidRPr="004E5C1B" w:rsidRDefault="007F3CDC" w:rsidP="004E5C1B">
      <w:pPr>
        <w:pStyle w:val="Prrafodelista"/>
        <w:numPr>
          <w:ilvl w:val="1"/>
          <w:numId w:val="10"/>
        </w:numPr>
        <w:jc w:val="both"/>
        <w:rPr>
          <w:rFonts w:ascii="Noto Sans Light" w:hAnsi="Noto Sans Light" w:cs="Noto Sans Light"/>
          <w:sz w:val="24"/>
          <w:szCs w:val="24"/>
        </w:rPr>
      </w:pPr>
      <w:r w:rsidRPr="004E5C1B">
        <w:rPr>
          <w:rFonts w:ascii="Noto Sans Light" w:hAnsi="Noto Sans Light" w:cs="Noto Sans Light"/>
          <w:sz w:val="24"/>
          <w:szCs w:val="24"/>
        </w:rPr>
        <w:t>Reglamento de la Ley Federal de Presupuesto y Responsabilidad Hacendaria.</w:t>
      </w:r>
    </w:p>
    <w:p w:rsidR="007F3CDC" w:rsidRPr="004E5C1B" w:rsidRDefault="007F3CDC" w:rsidP="004E5C1B">
      <w:pPr>
        <w:pStyle w:val="Prrafodelista"/>
        <w:numPr>
          <w:ilvl w:val="1"/>
          <w:numId w:val="10"/>
        </w:numPr>
        <w:jc w:val="both"/>
        <w:rPr>
          <w:rFonts w:ascii="Noto Sans Light" w:hAnsi="Noto Sans Light" w:cs="Noto Sans Light"/>
          <w:sz w:val="24"/>
          <w:szCs w:val="24"/>
        </w:rPr>
      </w:pPr>
      <w:r w:rsidRPr="004E5C1B">
        <w:rPr>
          <w:rFonts w:ascii="Noto Sans Light" w:hAnsi="Noto Sans Light" w:cs="Noto Sans Light"/>
          <w:sz w:val="24"/>
          <w:szCs w:val="24"/>
        </w:rPr>
        <w:t>Reglamento de la Ley Federal de las Entidades Paraestatales.</w:t>
      </w:r>
    </w:p>
    <w:p w:rsidR="007F3CDC" w:rsidRPr="004E5C1B" w:rsidRDefault="007F3CDC" w:rsidP="004E5C1B">
      <w:pPr>
        <w:pStyle w:val="Prrafodelista"/>
        <w:numPr>
          <w:ilvl w:val="1"/>
          <w:numId w:val="10"/>
        </w:numPr>
        <w:jc w:val="both"/>
        <w:rPr>
          <w:rFonts w:ascii="Noto Sans Light" w:hAnsi="Noto Sans Light" w:cs="Noto Sans Light"/>
          <w:sz w:val="24"/>
          <w:szCs w:val="24"/>
        </w:rPr>
      </w:pPr>
      <w:r w:rsidRPr="004E5C1B">
        <w:rPr>
          <w:rFonts w:ascii="Noto Sans Light" w:hAnsi="Noto Sans Light" w:cs="Noto Sans Light"/>
          <w:sz w:val="24"/>
          <w:szCs w:val="24"/>
        </w:rPr>
        <w:t>Reglamento de la Ley de Tesorería de la Federación.</w:t>
      </w:r>
    </w:p>
    <w:p w:rsidR="007F3CDC" w:rsidRPr="004E5C1B" w:rsidRDefault="007F3CDC" w:rsidP="004E5C1B">
      <w:pPr>
        <w:pStyle w:val="Prrafodelista"/>
        <w:numPr>
          <w:ilvl w:val="1"/>
          <w:numId w:val="10"/>
        </w:numPr>
        <w:jc w:val="both"/>
        <w:rPr>
          <w:rFonts w:ascii="Noto Sans Light" w:hAnsi="Noto Sans Light" w:cs="Noto Sans Light"/>
          <w:sz w:val="24"/>
          <w:szCs w:val="24"/>
        </w:rPr>
      </w:pPr>
      <w:r w:rsidRPr="004E5C1B">
        <w:rPr>
          <w:rFonts w:ascii="Noto Sans Light" w:hAnsi="Noto Sans Light" w:cs="Noto Sans Light"/>
          <w:sz w:val="24"/>
          <w:szCs w:val="24"/>
        </w:rPr>
        <w:t>Reglamento de la Ley del Impuesto al Valor Agregado.</w:t>
      </w:r>
    </w:p>
    <w:p w:rsidR="007F3CDC" w:rsidRDefault="007F3CDC" w:rsidP="004E5C1B">
      <w:pPr>
        <w:pStyle w:val="Prrafodelista"/>
        <w:numPr>
          <w:ilvl w:val="1"/>
          <w:numId w:val="10"/>
        </w:numPr>
        <w:jc w:val="both"/>
        <w:rPr>
          <w:rFonts w:ascii="Noto Sans Light" w:hAnsi="Noto Sans Light" w:cs="Noto Sans Light"/>
          <w:sz w:val="24"/>
          <w:szCs w:val="24"/>
        </w:rPr>
      </w:pPr>
      <w:r w:rsidRPr="004E5C1B">
        <w:rPr>
          <w:rFonts w:ascii="Noto Sans Light" w:hAnsi="Noto Sans Light" w:cs="Noto Sans Light"/>
          <w:sz w:val="24"/>
          <w:szCs w:val="24"/>
        </w:rPr>
        <w:t>Reglamento de la Ley del Impuesto sobre la Renta.</w:t>
      </w:r>
    </w:p>
    <w:p w:rsidR="004E5C1B" w:rsidRPr="004E5C1B" w:rsidRDefault="004E5C1B" w:rsidP="004E5C1B">
      <w:pPr>
        <w:pStyle w:val="Prrafodelista"/>
        <w:ind w:left="1697"/>
        <w:jc w:val="both"/>
        <w:rPr>
          <w:rFonts w:ascii="Noto Sans Light" w:hAnsi="Noto Sans Light" w:cs="Noto Sans Light"/>
          <w:sz w:val="24"/>
          <w:szCs w:val="24"/>
        </w:rPr>
      </w:pPr>
    </w:p>
    <w:p w:rsidR="007F3CDC" w:rsidRPr="004E5C1B" w:rsidRDefault="007F3CDC" w:rsidP="004E5C1B">
      <w:pPr>
        <w:pStyle w:val="Prrafodelista"/>
        <w:numPr>
          <w:ilvl w:val="0"/>
          <w:numId w:val="5"/>
        </w:numPr>
        <w:jc w:val="both"/>
        <w:rPr>
          <w:rFonts w:ascii="Noto Sans Light" w:hAnsi="Noto Sans Light" w:cs="Noto Sans Light"/>
          <w:sz w:val="24"/>
          <w:szCs w:val="24"/>
        </w:rPr>
      </w:pPr>
      <w:r w:rsidRPr="004E5C1B">
        <w:rPr>
          <w:rFonts w:ascii="Noto Sans Light" w:hAnsi="Noto Sans Light" w:cs="Noto Sans Light"/>
          <w:sz w:val="24"/>
          <w:szCs w:val="24"/>
        </w:rPr>
        <w:t>Decretos</w:t>
      </w:r>
    </w:p>
    <w:p w:rsidR="007F3CDC" w:rsidRDefault="007F3CDC" w:rsidP="004E5C1B">
      <w:pPr>
        <w:pStyle w:val="Prrafodelista"/>
        <w:numPr>
          <w:ilvl w:val="1"/>
          <w:numId w:val="13"/>
        </w:numPr>
        <w:jc w:val="both"/>
        <w:rPr>
          <w:rFonts w:ascii="Noto Sans Light" w:hAnsi="Noto Sans Light" w:cs="Noto Sans Light"/>
          <w:sz w:val="24"/>
          <w:szCs w:val="24"/>
        </w:rPr>
      </w:pPr>
      <w:r w:rsidRPr="004E5C1B">
        <w:rPr>
          <w:rFonts w:ascii="Noto Sans Light" w:hAnsi="Noto Sans Light" w:cs="Noto Sans Light"/>
          <w:sz w:val="24"/>
          <w:szCs w:val="24"/>
        </w:rPr>
        <w:t>Decreto aprobatorio del Presupuesto de Egresos de la Federación para el Ejercicio Fiscal.</w:t>
      </w:r>
    </w:p>
    <w:p w:rsidR="004E5C1B" w:rsidRPr="004E5C1B" w:rsidRDefault="004E5C1B" w:rsidP="004E5C1B">
      <w:pPr>
        <w:pStyle w:val="Prrafodelista"/>
        <w:ind w:left="1352"/>
        <w:jc w:val="both"/>
        <w:rPr>
          <w:rFonts w:ascii="Noto Sans Light" w:hAnsi="Noto Sans Light" w:cs="Noto Sans Light"/>
          <w:sz w:val="24"/>
          <w:szCs w:val="24"/>
        </w:rPr>
      </w:pPr>
    </w:p>
    <w:p w:rsidR="007F3CDC" w:rsidRPr="004E5C1B" w:rsidRDefault="007F3CDC" w:rsidP="004E5C1B">
      <w:pPr>
        <w:pStyle w:val="Prrafodelista"/>
        <w:numPr>
          <w:ilvl w:val="0"/>
          <w:numId w:val="5"/>
        </w:numPr>
        <w:jc w:val="both"/>
        <w:rPr>
          <w:rFonts w:ascii="Noto Sans Light" w:hAnsi="Noto Sans Light" w:cs="Noto Sans Light"/>
          <w:sz w:val="24"/>
          <w:szCs w:val="24"/>
        </w:rPr>
      </w:pPr>
      <w:r w:rsidRPr="004E5C1B">
        <w:rPr>
          <w:rFonts w:ascii="Noto Sans Light" w:hAnsi="Noto Sans Light" w:cs="Noto Sans Light"/>
          <w:sz w:val="24"/>
          <w:szCs w:val="24"/>
        </w:rPr>
        <w:t>Marco Técnico</w:t>
      </w:r>
    </w:p>
    <w:p w:rsidR="007F3CDC" w:rsidRPr="007A7D1C" w:rsidRDefault="007F3CDC" w:rsidP="007A7D1C">
      <w:pPr>
        <w:pStyle w:val="Prrafodelista"/>
        <w:numPr>
          <w:ilvl w:val="1"/>
          <w:numId w:val="13"/>
        </w:numPr>
        <w:jc w:val="both"/>
        <w:rPr>
          <w:rFonts w:ascii="Noto Sans Light" w:hAnsi="Noto Sans Light" w:cs="Noto Sans Light"/>
          <w:sz w:val="24"/>
          <w:szCs w:val="24"/>
        </w:rPr>
      </w:pPr>
      <w:r w:rsidRPr="007A7D1C">
        <w:rPr>
          <w:rFonts w:ascii="Noto Sans Light" w:hAnsi="Noto Sans Light" w:cs="Noto Sans Light"/>
          <w:sz w:val="24"/>
          <w:szCs w:val="24"/>
        </w:rPr>
        <w:t>Postulados Básicos de Contabilidad Gubernamental.</w:t>
      </w:r>
    </w:p>
    <w:p w:rsidR="007F3CDC" w:rsidRPr="007A7D1C" w:rsidRDefault="007F3CDC" w:rsidP="007A7D1C">
      <w:pPr>
        <w:pStyle w:val="Prrafodelista"/>
        <w:numPr>
          <w:ilvl w:val="1"/>
          <w:numId w:val="14"/>
        </w:numPr>
        <w:jc w:val="both"/>
        <w:rPr>
          <w:rFonts w:ascii="Noto Sans Light" w:hAnsi="Noto Sans Light" w:cs="Noto Sans Light"/>
          <w:sz w:val="24"/>
          <w:szCs w:val="24"/>
        </w:rPr>
      </w:pPr>
      <w:r w:rsidRPr="007A7D1C">
        <w:rPr>
          <w:rFonts w:ascii="Noto Sans Light" w:hAnsi="Noto Sans Light" w:cs="Noto Sans Light"/>
          <w:sz w:val="24"/>
          <w:szCs w:val="24"/>
        </w:rPr>
        <w:t>Normas y Metodología para la determinación de los momentos contables de los Egresos.</w:t>
      </w:r>
    </w:p>
    <w:p w:rsidR="007F3CDC" w:rsidRPr="007A7D1C" w:rsidRDefault="007F3CDC" w:rsidP="007A7D1C">
      <w:pPr>
        <w:pStyle w:val="Prrafodelista"/>
        <w:numPr>
          <w:ilvl w:val="1"/>
          <w:numId w:val="14"/>
        </w:numPr>
        <w:jc w:val="both"/>
        <w:rPr>
          <w:rFonts w:ascii="Noto Sans Light" w:hAnsi="Noto Sans Light" w:cs="Noto Sans Light"/>
          <w:sz w:val="24"/>
          <w:szCs w:val="24"/>
        </w:rPr>
      </w:pPr>
      <w:r w:rsidRPr="007A7D1C">
        <w:rPr>
          <w:rFonts w:ascii="Noto Sans Light" w:hAnsi="Noto Sans Light" w:cs="Noto Sans Light"/>
          <w:sz w:val="24"/>
          <w:szCs w:val="24"/>
        </w:rPr>
        <w:t>Normas y Metodología para la determinación de los momentos contables de los Ingresos.</w:t>
      </w:r>
    </w:p>
    <w:p w:rsidR="007F3CDC" w:rsidRPr="007A7D1C" w:rsidRDefault="007F3CDC" w:rsidP="007A7D1C">
      <w:pPr>
        <w:pStyle w:val="Prrafodelista"/>
        <w:numPr>
          <w:ilvl w:val="1"/>
          <w:numId w:val="14"/>
        </w:numPr>
        <w:jc w:val="both"/>
        <w:rPr>
          <w:rFonts w:ascii="Noto Sans Light" w:hAnsi="Noto Sans Light" w:cs="Noto Sans Light"/>
          <w:sz w:val="24"/>
          <w:szCs w:val="24"/>
        </w:rPr>
      </w:pPr>
      <w:r w:rsidRPr="007A7D1C">
        <w:rPr>
          <w:rFonts w:ascii="Noto Sans Light" w:hAnsi="Noto Sans Light" w:cs="Noto Sans Light"/>
          <w:sz w:val="24"/>
          <w:szCs w:val="24"/>
        </w:rPr>
        <w:t>Clasificador por Objeto del Gasto.</w:t>
      </w:r>
    </w:p>
    <w:p w:rsidR="007F3CDC" w:rsidRPr="007A7D1C" w:rsidRDefault="007F3CDC" w:rsidP="007A7D1C">
      <w:pPr>
        <w:pStyle w:val="Prrafodelista"/>
        <w:numPr>
          <w:ilvl w:val="1"/>
          <w:numId w:val="14"/>
        </w:numPr>
        <w:jc w:val="both"/>
        <w:rPr>
          <w:rFonts w:ascii="Noto Sans Light" w:hAnsi="Noto Sans Light" w:cs="Noto Sans Light"/>
          <w:sz w:val="24"/>
          <w:szCs w:val="24"/>
        </w:rPr>
      </w:pPr>
      <w:r w:rsidRPr="007A7D1C">
        <w:rPr>
          <w:rFonts w:ascii="Noto Sans Light" w:hAnsi="Noto Sans Light" w:cs="Noto Sans Light"/>
          <w:sz w:val="24"/>
          <w:szCs w:val="24"/>
        </w:rPr>
        <w:t>Disposiciones en materia presupuestaria y contable emitidas por la Secretaría de Hacienda y Crédito Público.</w:t>
      </w:r>
    </w:p>
    <w:p w:rsidR="00C509F3" w:rsidRPr="007A7D1C" w:rsidRDefault="007F3CDC" w:rsidP="007A7D1C">
      <w:pPr>
        <w:pStyle w:val="Prrafodelista"/>
        <w:numPr>
          <w:ilvl w:val="1"/>
          <w:numId w:val="14"/>
        </w:numPr>
        <w:jc w:val="both"/>
        <w:rPr>
          <w:rFonts w:ascii="Noto Sans Light" w:hAnsi="Noto Sans Light" w:cs="Noto Sans Light"/>
          <w:sz w:val="24"/>
          <w:szCs w:val="24"/>
        </w:rPr>
      </w:pPr>
      <w:r w:rsidRPr="007A7D1C">
        <w:rPr>
          <w:rFonts w:ascii="Noto Sans Light" w:hAnsi="Noto Sans Light" w:cs="Noto Sans Light"/>
          <w:sz w:val="24"/>
          <w:szCs w:val="24"/>
        </w:rPr>
        <w:t>Ordenamientos emitidos por el Consejo Nacional de Armonización Contable (CONAC).</w:t>
      </w:r>
    </w:p>
    <w:sectPr w:rsidR="00C509F3" w:rsidRPr="007A7D1C" w:rsidSect="00624FE3">
      <w:headerReference w:type="even" r:id="rId7"/>
      <w:headerReference w:type="default" r:id="rId8"/>
      <w:footerReference w:type="even" r:id="rId9"/>
      <w:footerReference w:type="default" r:id="rId10"/>
      <w:headerReference w:type="first" r:id="rId11"/>
      <w:footerReference w:type="first" r:id="rId12"/>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FE3" w:rsidRDefault="00624FE3" w:rsidP="00624FE3">
      <w:r>
        <w:separator/>
      </w:r>
    </w:p>
  </w:endnote>
  <w:endnote w:type="continuationSeparator" w:id="0">
    <w:p w:rsidR="00624FE3" w:rsidRDefault="00624FE3" w:rsidP="0062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Light">
    <w:panose1 w:val="020B0502040504020204"/>
    <w:charset w:val="00"/>
    <w:family w:val="swiss"/>
    <w:pitch w:val="variable"/>
    <w:sig w:usb0="E00002FF" w:usb1="4000201F" w:usb2="08000029"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oto Sans">
    <w:panose1 w:val="020B0502040504020204"/>
    <w:charset w:val="00"/>
    <w:family w:val="swiss"/>
    <w:pitch w:val="variable"/>
    <w:sig w:usb0="E00002FF" w:usb1="4000201F" w:usb2="0800002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0AC" w:rsidRDefault="00FA50A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201031"/>
      <w:docPartObj>
        <w:docPartGallery w:val="Page Numbers (Bottom of Page)"/>
        <w:docPartUnique/>
      </w:docPartObj>
    </w:sdtPr>
    <w:sdtEndPr/>
    <w:sdtContent>
      <w:p w:rsidR="00624FE3" w:rsidRDefault="00FA50AC">
        <w:pPr>
          <w:pStyle w:val="Piedepgina"/>
          <w:jc w:val="right"/>
        </w:pPr>
        <w:r>
          <w:rPr>
            <w:noProof/>
            <w:lang w:eastAsia="es-MX"/>
          </w:rPr>
          <w:drawing>
            <wp:anchor distT="0" distB="0" distL="114300" distR="114300" simplePos="0" relativeHeight="251668480" behindDoc="1" locked="0" layoutInCell="1" allowOverlap="1" wp14:anchorId="61F2E272" wp14:editId="3DE62C3F">
              <wp:simplePos x="0" y="0"/>
              <wp:positionH relativeFrom="column">
                <wp:posOffset>0</wp:posOffset>
              </wp:positionH>
              <wp:positionV relativeFrom="paragraph">
                <wp:posOffset>-635</wp:posOffset>
              </wp:positionV>
              <wp:extent cx="1809750" cy="101590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8103" t="70609" r="63554" b="11084"/>
                      <a:stretch/>
                    </pic:blipFill>
                    <pic:spPr bwMode="auto">
                      <a:xfrm>
                        <a:off x="0" y="0"/>
                        <a:ext cx="1809750" cy="10159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4FE3">
          <w:fldChar w:fldCharType="begin"/>
        </w:r>
        <w:r w:rsidR="00624FE3">
          <w:instrText>PAGE   \* MERGEFORMAT</w:instrText>
        </w:r>
        <w:r w:rsidR="00624FE3">
          <w:fldChar w:fldCharType="separate"/>
        </w:r>
        <w:r w:rsidRPr="00FA50AC">
          <w:rPr>
            <w:noProof/>
            <w:lang w:val="es-ES"/>
          </w:rPr>
          <w:t>1</w:t>
        </w:r>
        <w:r w:rsidR="00624FE3">
          <w:fldChar w:fldCharType="end"/>
        </w:r>
      </w:p>
      <w:p w:rsidR="00624FE3" w:rsidRDefault="00624FE3">
        <w:pPr>
          <w:pStyle w:val="Piedepgina"/>
          <w:jc w:val="right"/>
        </w:pPr>
        <w:r>
          <w:rPr>
            <w:noProof/>
            <w:lang w:eastAsia="es-MX"/>
          </w:rPr>
          <mc:AlternateContent>
            <mc:Choice Requires="wps">
              <w:drawing>
                <wp:anchor distT="45720" distB="45720" distL="114300" distR="114300" simplePos="0" relativeHeight="251666432" behindDoc="0" locked="0" layoutInCell="1" allowOverlap="1">
                  <wp:simplePos x="0" y="0"/>
                  <wp:positionH relativeFrom="margin">
                    <wp:posOffset>3383280</wp:posOffset>
                  </wp:positionH>
                  <wp:positionV relativeFrom="paragraph">
                    <wp:posOffset>48734</wp:posOffset>
                  </wp:positionV>
                  <wp:extent cx="2360930" cy="1404620"/>
                  <wp:effectExtent l="0" t="0" r="0" b="508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66.4pt;margin-top:3.8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" filled="f" stroked="f">
                  <v:textbox style="mso-fit-shape-to-text:t">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v:textbox>
                  <w10:wrap type="square" anchorx="margin"/>
                </v:shape>
              </w:pict>
            </mc:Fallback>
          </mc:AlternateContent>
        </w:r>
      </w:p>
      <w:p w:rsidR="00624FE3" w:rsidRDefault="00FA50AC">
        <w:pPr>
          <w:pStyle w:val="Piedepgina"/>
          <w:jc w:val="right"/>
        </w:pPr>
      </w:p>
      <w:bookmarkStart w:id="0" w:name="_GoBack" w:displacedByCustomXml="next"/>
      <w:bookmarkEnd w:id="0" w:displacedByCustomXml="next"/>
    </w:sdtContent>
  </w:sdt>
  <w:p w:rsidR="00624FE3" w:rsidRDefault="00624FE3">
    <w:pPr>
      <w:pStyle w:val="Piedepgina"/>
    </w:pPr>
    <w:r>
      <w:rPr>
        <w:noProof/>
        <w:lang w:eastAsia="es-MX"/>
      </w:rPr>
      <mc:AlternateContent>
        <mc:Choice Requires="wps">
          <w:drawing>
            <wp:anchor distT="0" distB="0" distL="114300" distR="114300" simplePos="0" relativeHeight="251664384" behindDoc="0" locked="0" layoutInCell="1" allowOverlap="1" wp14:anchorId="4A516135" wp14:editId="2F0B1D60">
              <wp:simplePos x="0" y="0"/>
              <wp:positionH relativeFrom="column">
                <wp:posOffset>1658203</wp:posOffset>
              </wp:positionH>
              <wp:positionV relativeFrom="paragraph">
                <wp:posOffset>347439</wp:posOffset>
              </wp:positionV>
              <wp:extent cx="7499445" cy="95269"/>
              <wp:effectExtent l="0" t="0" r="25400" b="19050"/>
              <wp:wrapNone/>
              <wp:docPr id="4" name="Rectángulo 4"/>
              <wp:cNvGraphicFramePr/>
              <a:graphic xmlns:a="http://schemas.openxmlformats.org/drawingml/2006/main">
                <a:graphicData uri="http://schemas.microsoft.com/office/word/2010/wordprocessingShape">
                  <wps:wsp>
                    <wps:cNvSpPr/>
                    <wps:spPr>
                      <a:xfrm>
                        <a:off x="0" y="0"/>
                        <a:ext cx="7499445" cy="95269"/>
                      </a:xfrm>
                      <a:prstGeom prst="rect">
                        <a:avLst/>
                      </a:prstGeom>
                      <a:solidFill>
                        <a:srgbClr val="621333"/>
                      </a:solidFill>
                      <a:ln>
                        <a:solidFill>
                          <a:srgbClr val="621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10452" id="Rectángulo 4" o:spid="_x0000_s1026" style="position:absolute;margin-left:130.55pt;margin-top:27.35pt;width:590.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" fillcolor="#621333" strokecolor="#621333" strokeweight="1p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0AC" w:rsidRDefault="00FA50A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FE3" w:rsidRDefault="00624FE3" w:rsidP="00624FE3">
      <w:r>
        <w:separator/>
      </w:r>
    </w:p>
  </w:footnote>
  <w:footnote w:type="continuationSeparator" w:id="0">
    <w:p w:rsidR="00624FE3" w:rsidRDefault="00624FE3" w:rsidP="0062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0AC" w:rsidRDefault="00FA50A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9F3" w:rsidRDefault="00C509F3">
    <w:pPr>
      <w:pStyle w:val="Encabezado"/>
    </w:pPr>
    <w:r>
      <w:rPr>
        <w:noProof/>
        <w:lang w:eastAsia="es-MX"/>
      </w:rPr>
      <w:drawing>
        <wp:anchor distT="0" distB="0" distL="0" distR="0" simplePos="0" relativeHeight="251659264" behindDoc="1" locked="0" layoutInCell="1" allowOverlap="1" wp14:anchorId="5EF3AF1A" wp14:editId="45916577">
          <wp:simplePos x="0" y="0"/>
          <wp:positionH relativeFrom="margin">
            <wp:align>center</wp:align>
          </wp:positionH>
          <wp:positionV relativeFrom="paragraph">
            <wp:posOffset>-380630</wp:posOffset>
          </wp:positionV>
          <wp:extent cx="9892030" cy="9144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705" b="82507"/>
                  <a:stretch/>
                </pic:blipFill>
                <pic:spPr bwMode="auto">
                  <a:xfrm>
                    <a:off x="0" y="0"/>
                    <a:ext cx="989203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509F3" w:rsidRDefault="00C509F3">
    <w:pPr>
      <w:pStyle w:val="Encabezado"/>
    </w:pPr>
  </w:p>
  <w:p w:rsidR="00624FE3" w:rsidRDefault="00624FE3">
    <w:pPr>
      <w:pStyle w:val="Encabezado"/>
    </w:pPr>
    <w:r>
      <w:rPr>
        <w:noProof/>
        <w:lang w:eastAsia="es-MX"/>
      </w:rPr>
      <mc:AlternateContent>
        <mc:Choice Requires="wps">
          <w:drawing>
            <wp:anchor distT="45720" distB="45720" distL="114300" distR="114300" simplePos="0" relativeHeight="251661312" behindDoc="0" locked="0" layoutInCell="1" allowOverlap="1">
              <wp:simplePos x="0" y="0"/>
              <wp:positionH relativeFrom="column">
                <wp:posOffset>3637100</wp:posOffset>
              </wp:positionH>
              <wp:positionV relativeFrom="paragraph">
                <wp:posOffset>-333366</wp:posOffset>
              </wp:positionV>
              <wp:extent cx="4135120" cy="140462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5120" cy="1404620"/>
                      </a:xfrm>
                      <a:prstGeom prst="rect">
                        <a:avLst/>
                      </a:prstGeom>
                      <a:solidFill>
                        <a:srgbClr val="FFFFFF"/>
                      </a:solidFill>
                      <a:ln w="9525">
                        <a:noFill/>
                        <a:miter lim="800000"/>
                        <a:headEnd/>
                        <a:tailEnd/>
                      </a:ln>
                    </wps:spPr>
                    <wps:txbx>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86.4pt;margin-top:-26.25pt;width:32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" stroked="f">
              <v:textbox style="mso-fit-shape-to-text:t">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v:textbox>
              <w10:wrap type="square"/>
            </v:shape>
          </w:pict>
        </mc:Fallback>
      </mc:AlternateContent>
    </w:r>
  </w:p>
  <w:p w:rsidR="00C509F3" w:rsidRPr="00C509F3" w:rsidRDefault="00C509F3"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sidRPr="00C509F3">
      <w:rPr>
        <w:rFonts w:ascii="Noto Sans Light" w:hAnsi="Noto Sans Light" w:cs="Noto Sans Light"/>
        <w:b/>
        <w:color w:val="FFFFFF" w:themeColor="background1"/>
        <w:szCs w:val="28"/>
      </w:rPr>
      <w:t>MANUAL DE CONTABILIDAD GUBERNAMENTAL PARA LAS ENTIDADES PARAESTATALES SECTORIZADAS AL RAMO 12 - SALUD</w:t>
    </w:r>
  </w:p>
  <w:p w:rsidR="00624FE3" w:rsidRPr="00C509F3" w:rsidRDefault="00624FE3">
    <w:pPr>
      <w:pStyle w:val="Encabezado"/>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0AC" w:rsidRDefault="00FA50A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544"/>
    <w:multiLevelType w:val="hybridMultilevel"/>
    <w:tmpl w:val="F162E3CC"/>
    <w:lvl w:ilvl="0" w:tplc="DE004D1E">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99F457A"/>
    <w:multiLevelType w:val="hybridMultilevel"/>
    <w:tmpl w:val="4502DD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22C4A64"/>
    <w:multiLevelType w:val="hybridMultilevel"/>
    <w:tmpl w:val="618EE4D6"/>
    <w:lvl w:ilvl="0" w:tplc="6B3AEDF4">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B6B0042"/>
    <w:multiLevelType w:val="hybridMultilevel"/>
    <w:tmpl w:val="012687AA"/>
    <w:lvl w:ilvl="0" w:tplc="080A0005">
      <w:start w:val="1"/>
      <w:numFmt w:val="bullet"/>
      <w:lvlText w:val=""/>
      <w:lvlJc w:val="left"/>
      <w:pPr>
        <w:ind w:left="1697" w:hanging="705"/>
      </w:pPr>
      <w:rPr>
        <w:rFonts w:ascii="Wingdings" w:hAnsi="Wingdings" w:hint="default"/>
      </w:rPr>
    </w:lvl>
    <w:lvl w:ilvl="1" w:tplc="080A0005">
      <w:start w:val="1"/>
      <w:numFmt w:val="bullet"/>
      <w:lvlText w:val=""/>
      <w:lvlJc w:val="left"/>
      <w:pPr>
        <w:ind w:left="1697" w:hanging="705"/>
      </w:pPr>
      <w:rPr>
        <w:rFonts w:ascii="Wingdings" w:hAnsi="Wingdings"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4" w15:restartNumberingAfterBreak="0">
    <w:nsid w:val="22A70EB5"/>
    <w:multiLevelType w:val="hybridMultilevel"/>
    <w:tmpl w:val="E2322266"/>
    <w:lvl w:ilvl="0" w:tplc="080A0005">
      <w:start w:val="1"/>
      <w:numFmt w:val="bullet"/>
      <w:lvlText w:val=""/>
      <w:lvlJc w:val="left"/>
      <w:pPr>
        <w:ind w:left="1352" w:hanging="360"/>
      </w:pPr>
      <w:rPr>
        <w:rFonts w:ascii="Wingdings" w:hAnsi="Wingdings" w:hint="default"/>
      </w:rPr>
    </w:lvl>
    <w:lvl w:ilvl="1" w:tplc="080A0003" w:tentative="1">
      <w:start w:val="1"/>
      <w:numFmt w:val="bullet"/>
      <w:lvlText w:val="o"/>
      <w:lvlJc w:val="left"/>
      <w:pPr>
        <w:ind w:left="2072" w:hanging="360"/>
      </w:pPr>
      <w:rPr>
        <w:rFonts w:ascii="Courier New" w:hAnsi="Courier New" w:cs="Courier New"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5" w15:restartNumberingAfterBreak="0">
    <w:nsid w:val="28BD088C"/>
    <w:multiLevelType w:val="hybridMultilevel"/>
    <w:tmpl w:val="5B5AE90C"/>
    <w:lvl w:ilvl="0" w:tplc="DE004D1E">
      <w:start w:val="2"/>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B366388"/>
    <w:multiLevelType w:val="hybridMultilevel"/>
    <w:tmpl w:val="371C8FF0"/>
    <w:lvl w:ilvl="0" w:tplc="DE004D1E">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A0585A"/>
    <w:multiLevelType w:val="hybridMultilevel"/>
    <w:tmpl w:val="09FC517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9DC622D"/>
    <w:multiLevelType w:val="hybridMultilevel"/>
    <w:tmpl w:val="3306C7B6"/>
    <w:lvl w:ilvl="0" w:tplc="DE342FD4">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A131C31"/>
    <w:multiLevelType w:val="hybridMultilevel"/>
    <w:tmpl w:val="EFECF452"/>
    <w:lvl w:ilvl="0" w:tplc="080A0005">
      <w:start w:val="1"/>
      <w:numFmt w:val="bullet"/>
      <w:lvlText w:val=""/>
      <w:lvlJc w:val="left"/>
      <w:pPr>
        <w:ind w:left="720" w:hanging="360"/>
      </w:pPr>
      <w:rPr>
        <w:rFonts w:ascii="Wingdings" w:hAnsi="Wingdings" w:hint="default"/>
      </w:rPr>
    </w:lvl>
    <w:lvl w:ilvl="1" w:tplc="080A0005">
      <w:start w:val="1"/>
      <w:numFmt w:val="bullet"/>
      <w:lvlText w:val=""/>
      <w:lvlJc w:val="left"/>
      <w:pPr>
        <w:ind w:left="1352"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60038F1"/>
    <w:multiLevelType w:val="hybridMultilevel"/>
    <w:tmpl w:val="542EFFB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ACD29A0"/>
    <w:multiLevelType w:val="hybridMultilevel"/>
    <w:tmpl w:val="5E7657F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E6E7570"/>
    <w:multiLevelType w:val="hybridMultilevel"/>
    <w:tmpl w:val="F57409EC"/>
    <w:lvl w:ilvl="0" w:tplc="080A0005">
      <w:start w:val="1"/>
      <w:numFmt w:val="bullet"/>
      <w:lvlText w:val=""/>
      <w:lvlJc w:val="left"/>
      <w:pPr>
        <w:ind w:left="1697" w:hanging="705"/>
      </w:pPr>
      <w:rPr>
        <w:rFonts w:ascii="Wingdings" w:hAnsi="Wingdings" w:hint="default"/>
      </w:rPr>
    </w:lvl>
    <w:lvl w:ilvl="1" w:tplc="1CD4586C">
      <w:start w:val="2"/>
      <w:numFmt w:val="bullet"/>
      <w:lvlText w:val="•"/>
      <w:lvlJc w:val="left"/>
      <w:pPr>
        <w:ind w:left="2417" w:hanging="705"/>
      </w:pPr>
      <w:rPr>
        <w:rFonts w:ascii="Noto Sans Light" w:eastAsia="Times New Roman" w:hAnsi="Noto Sans Light" w:cs="Noto Sans Light"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13" w15:restartNumberingAfterBreak="0">
    <w:nsid w:val="67D932D2"/>
    <w:multiLevelType w:val="hybridMultilevel"/>
    <w:tmpl w:val="9F4A64A6"/>
    <w:lvl w:ilvl="0" w:tplc="080A0005">
      <w:start w:val="1"/>
      <w:numFmt w:val="bullet"/>
      <w:lvlText w:val=""/>
      <w:lvlJc w:val="left"/>
      <w:pPr>
        <w:ind w:left="1697" w:hanging="705"/>
      </w:pPr>
      <w:rPr>
        <w:rFonts w:ascii="Wingdings" w:hAnsi="Wingdings" w:hint="default"/>
      </w:rPr>
    </w:lvl>
    <w:lvl w:ilvl="1" w:tplc="080A0005">
      <w:start w:val="1"/>
      <w:numFmt w:val="bullet"/>
      <w:lvlText w:val=""/>
      <w:lvlJc w:val="left"/>
      <w:pPr>
        <w:ind w:left="1697" w:hanging="705"/>
      </w:pPr>
      <w:rPr>
        <w:rFonts w:ascii="Wingdings" w:hAnsi="Wingdings"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num w:numId="1">
    <w:abstractNumId w:val="10"/>
  </w:num>
  <w:num w:numId="2">
    <w:abstractNumId w:val="8"/>
  </w:num>
  <w:num w:numId="3">
    <w:abstractNumId w:val="4"/>
  </w:num>
  <w:num w:numId="4">
    <w:abstractNumId w:val="0"/>
  </w:num>
  <w:num w:numId="5">
    <w:abstractNumId w:val="7"/>
  </w:num>
  <w:num w:numId="6">
    <w:abstractNumId w:val="2"/>
  </w:num>
  <w:num w:numId="7">
    <w:abstractNumId w:val="6"/>
  </w:num>
  <w:num w:numId="8">
    <w:abstractNumId w:val="5"/>
  </w:num>
  <w:num w:numId="9">
    <w:abstractNumId w:val="12"/>
  </w:num>
  <w:num w:numId="10">
    <w:abstractNumId w:val="3"/>
  </w:num>
  <w:num w:numId="11">
    <w:abstractNumId w:val="11"/>
  </w:num>
  <w:num w:numId="12">
    <w:abstractNumId w:val="1"/>
  </w:num>
  <w:num w:numId="13">
    <w:abstractNumId w:val="9"/>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E3"/>
    <w:rsid w:val="003F7C52"/>
    <w:rsid w:val="004E5C1B"/>
    <w:rsid w:val="00624FE3"/>
    <w:rsid w:val="007A7D1C"/>
    <w:rsid w:val="007F3CDC"/>
    <w:rsid w:val="00857C51"/>
    <w:rsid w:val="008E4552"/>
    <w:rsid w:val="00C509F3"/>
    <w:rsid w:val="00CD7B44"/>
    <w:rsid w:val="00ED00B1"/>
    <w:rsid w:val="00ED1D2B"/>
    <w:rsid w:val="00FA50A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E54F6F2-B904-40A0-9525-B564B910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9F3"/>
    <w:pPr>
      <w:spacing w:after="0" w:line="240" w:lineRule="auto"/>
    </w:pPr>
    <w:rPr>
      <w:rFonts w:ascii="Verdana" w:eastAsia="Times New Roman" w:hAnsi="Verdana" w:cs="Arial"/>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EncabezadoCar">
    <w:name w:val="Encabezado Car"/>
    <w:basedOn w:val="Fuentedeprrafopredeter"/>
    <w:link w:val="Encabezado"/>
    <w:uiPriority w:val="99"/>
    <w:rsid w:val="00624FE3"/>
  </w:style>
  <w:style w:type="paragraph" w:styleId="Piedepgina">
    <w:name w:val="footer"/>
    <w:basedOn w:val="Normal"/>
    <w:link w:val="Piedepgina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PiedepginaCar">
    <w:name w:val="Pie de página Car"/>
    <w:basedOn w:val="Fuentedeprrafopredeter"/>
    <w:link w:val="Piedepgina"/>
    <w:uiPriority w:val="99"/>
    <w:rsid w:val="00624FE3"/>
  </w:style>
  <w:style w:type="paragraph" w:styleId="Prrafodelista">
    <w:name w:val="List Paragraph"/>
    <w:basedOn w:val="Normal"/>
    <w:uiPriority w:val="34"/>
    <w:qFormat/>
    <w:rsid w:val="007F3C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746</Words>
  <Characters>4106</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Carbajal Gómez</dc:creator>
  <cp:keywords/>
  <dc:description/>
  <cp:lastModifiedBy>Jenifer Carbajal Gómez</cp:lastModifiedBy>
  <cp:revision>6</cp:revision>
  <dcterms:created xsi:type="dcterms:W3CDTF">2025-12-02T20:20:00Z</dcterms:created>
  <dcterms:modified xsi:type="dcterms:W3CDTF">2026-01-06T23:37:00Z</dcterms:modified>
</cp:coreProperties>
</file>